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宁德市中心城区管道天然气终端</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销售价格联动管理机制</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both"/>
        <w:textAlignment w:val="baseline"/>
        <w:rPr>
          <w:rFonts w:hint="eastAsia" w:ascii="方正小标宋简体" w:hAnsi="方正小标宋简体" w:eastAsia="方正小标宋简体" w:cs="方正小标宋简体"/>
          <w:color w:val="auto"/>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32"/>
          <w:szCs w:val="32"/>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both"/>
        <w:textAlignment w:val="baseline"/>
        <w:rPr>
          <w:rFonts w:hint="eastAsia" w:ascii="方正小标宋简体" w:hAnsi="方正小标宋简体" w:eastAsia="方正小标宋简体" w:cs="方正小标宋简体"/>
          <w:color w:val="auto"/>
          <w:sz w:val="20"/>
          <w:szCs w:val="20"/>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default"/>
          <w:color w:val="auto"/>
          <w:lang w:val="en-US" w:eastAsia="zh-CN"/>
        </w:rPr>
      </w:pPr>
      <w:r>
        <w:rPr>
          <w:rFonts w:hint="eastAsia"/>
          <w:color w:val="auto"/>
          <w:lang w:eastAsia="zh-CN"/>
        </w:rPr>
        <w:t>为贯彻落实国家天然气价格改革要求，保障我市中心城区燃气安全稳定供应，保障群众安全、合理、充足的天然气需求，根据《福建省天然气价格管理办法》《</w:t>
      </w:r>
      <w:r>
        <w:rPr>
          <w:rFonts w:hint="eastAsia" w:ascii="仿宋_GB2312" w:hAnsi="仿宋_GB2312" w:cs="仿宋_GB2312"/>
          <w:color w:val="auto"/>
          <w:sz w:val="32"/>
          <w:szCs w:val="32"/>
          <w:lang w:val="en-US" w:eastAsia="zh-CN"/>
        </w:rPr>
        <w:t>福建省发展和改革委员会关于进一步做好建立健全我省天然气上下游价格联动机制工作的通知</w:t>
      </w:r>
      <w:r>
        <w:rPr>
          <w:rFonts w:hint="eastAsia"/>
          <w:color w:val="auto"/>
          <w:lang w:eastAsia="zh-CN"/>
        </w:rPr>
        <w:t>》</w:t>
      </w:r>
      <w:r>
        <w:rPr>
          <w:rFonts w:hint="eastAsia" w:ascii="仿宋_GB2312" w:hAnsi="仿宋_GB2312" w:cs="仿宋_GB2312"/>
          <w:color w:val="auto"/>
          <w:sz w:val="32"/>
          <w:szCs w:val="32"/>
          <w:lang w:val="en-US" w:eastAsia="zh-CN"/>
        </w:rPr>
        <w:t>（闽发改价格〔2023〕503号）等文件</w:t>
      </w:r>
      <w:r>
        <w:rPr>
          <w:rFonts w:hint="eastAsia"/>
          <w:color w:val="auto"/>
          <w:lang w:eastAsia="zh-CN"/>
        </w:rPr>
        <w:t>精神，结合我市实际情况，进一步完善宁德市中心城区管道天然气终端销售价格联动管理机制。</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黑体" w:hAnsi="黑体" w:eastAsia="黑体" w:cs="黑体"/>
          <w:color w:val="auto"/>
          <w:lang w:eastAsia="zh-CN"/>
        </w:rPr>
      </w:pPr>
      <w:r>
        <w:rPr>
          <w:rFonts w:hint="eastAsia" w:ascii="黑体" w:hAnsi="黑体" w:eastAsia="黑体" w:cs="黑体"/>
          <w:color w:val="auto"/>
          <w:lang w:eastAsia="zh-CN"/>
        </w:rPr>
        <w:t>一、适用范围</w:t>
      </w:r>
    </w:p>
    <w:p>
      <w:pPr>
        <w:keepNext w:val="0"/>
        <w:keepLines w:val="0"/>
        <w:pageBreakBefore w:val="0"/>
        <w:widowControl w:val="0"/>
        <w:kinsoku/>
        <w:wordWrap/>
        <w:overflowPunct/>
        <w:topLinePunct w:val="0"/>
        <w:autoSpaceDE/>
        <w:autoSpaceDN/>
        <w:bidi w:val="0"/>
        <w:adjustRightInd/>
        <w:snapToGrid w:val="0"/>
        <w:spacing w:line="560" w:lineRule="exact"/>
        <w:ind w:right="0" w:firstLine="564" w:firstLineChars="200"/>
        <w:jc w:val="both"/>
        <w:textAlignment w:val="auto"/>
        <w:rPr>
          <w:rFonts w:hint="eastAsia"/>
          <w:color w:val="auto"/>
          <w:spacing w:val="-6"/>
          <w:lang w:val="en-US" w:eastAsia="zh-CN"/>
        </w:rPr>
      </w:pPr>
      <w:r>
        <w:rPr>
          <w:rFonts w:hint="eastAsia"/>
          <w:color w:val="auto"/>
          <w:spacing w:val="-6"/>
          <w:lang w:val="en-US" w:eastAsia="zh-CN"/>
        </w:rPr>
        <w:t>宁德市中心城区内燃气经营企业通过城镇燃气管道供应居民用户和非居民用户的天然气终端销售价格。其中，居民用气终端销售价格实行政府定价，非居民用气终端销售价格实行最高指导价。</w:t>
      </w:r>
    </w:p>
    <w:p>
      <w:pPr>
        <w:keepNext w:val="0"/>
        <w:keepLines w:val="0"/>
        <w:pageBreakBefore w:val="0"/>
        <w:widowControl w:val="0"/>
        <w:kinsoku/>
        <w:wordWrap/>
        <w:overflowPunct/>
        <w:topLinePunct w:val="0"/>
        <w:autoSpaceDE/>
        <w:autoSpaceDN/>
        <w:bidi w:val="0"/>
        <w:adjustRightInd/>
        <w:snapToGrid w:val="0"/>
        <w:spacing w:line="560" w:lineRule="exact"/>
        <w:ind w:right="0" w:firstLine="564" w:firstLineChars="200"/>
        <w:jc w:val="both"/>
        <w:textAlignment w:val="auto"/>
        <w:rPr>
          <w:rFonts w:hint="eastAsia" w:ascii="黑体" w:hAnsi="黑体" w:eastAsia="黑体" w:cs="黑体"/>
          <w:color w:val="auto"/>
          <w:lang w:eastAsia="zh-CN"/>
        </w:rPr>
      </w:pPr>
      <w:r>
        <w:rPr>
          <w:rFonts w:hint="eastAsia"/>
          <w:color w:val="auto"/>
          <w:spacing w:val="-6"/>
          <w:lang w:val="en-US" w:eastAsia="zh-CN"/>
        </w:rPr>
        <w:t>与燃气企业签订合同，约定供气价格按“采购价+配气费用”结算的非居民用户，终端销售价格管理实行合同备案制，不适用本机制。</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黑体" w:hAnsi="黑体" w:eastAsia="黑体" w:cs="黑体"/>
          <w:color w:val="auto"/>
          <w:lang w:eastAsia="zh-CN"/>
        </w:rPr>
      </w:pPr>
      <w:r>
        <w:rPr>
          <w:rFonts w:hint="eastAsia" w:ascii="黑体" w:hAnsi="黑体" w:eastAsia="黑体" w:cs="黑体"/>
          <w:color w:val="auto"/>
          <w:lang w:eastAsia="zh-CN"/>
        </w:rPr>
        <w:t>二、主要内容</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楷体_GB2312" w:hAnsi="楷体_GB2312" w:eastAsia="楷体_GB2312" w:cs="楷体_GB2312"/>
          <w:b/>
          <w:bCs/>
          <w:color w:val="auto"/>
          <w:lang w:eastAsia="zh-CN"/>
        </w:rPr>
      </w:pPr>
      <w:r>
        <w:rPr>
          <w:rFonts w:hint="eastAsia" w:ascii="楷体_GB2312" w:hAnsi="楷体_GB2312" w:eastAsia="楷体_GB2312" w:cs="楷体_GB2312"/>
          <w:b/>
          <w:bCs/>
          <w:color w:val="auto"/>
          <w:lang w:eastAsia="zh-CN"/>
        </w:rPr>
        <w:t>（一</w:t>
      </w:r>
      <w:r>
        <w:rPr>
          <w:rFonts w:hint="eastAsia" w:ascii="楷体_GB2312" w:hAnsi="楷体_GB2312" w:eastAsia="楷体_GB2312" w:cs="楷体_GB2312"/>
          <w:b/>
          <w:bCs/>
          <w:color w:val="auto"/>
          <w:lang w:val="en-US" w:eastAsia="zh-CN"/>
        </w:rPr>
        <w:t>）天然气终端销售价格</w:t>
      </w:r>
      <w:r>
        <w:rPr>
          <w:rFonts w:hint="eastAsia" w:ascii="楷体_GB2312" w:hAnsi="楷体_GB2312" w:eastAsia="楷体_GB2312" w:cs="楷体_GB2312"/>
          <w:b/>
          <w:bCs/>
          <w:color w:val="auto"/>
          <w:lang w:eastAsia="zh-CN"/>
        </w:rPr>
        <w:t>构成</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eastAsia="zh-CN"/>
        </w:rPr>
        <w:t>根据《福建省天然气价格管理办法》规定，天然气终端销售价格</w:t>
      </w:r>
      <w:r>
        <w:rPr>
          <w:rFonts w:hint="eastAsia"/>
          <w:color w:val="auto"/>
          <w:lang w:val="en-US" w:eastAsia="zh-CN"/>
        </w:rPr>
        <w:t>=</w:t>
      </w:r>
      <w:r>
        <w:rPr>
          <w:rFonts w:hint="eastAsia"/>
          <w:color w:val="auto"/>
          <w:lang w:eastAsia="zh-CN"/>
        </w:rPr>
        <w:t>购气价格</w:t>
      </w:r>
      <w:r>
        <w:rPr>
          <w:rFonts w:hint="eastAsia"/>
          <w:color w:val="auto"/>
          <w:lang w:val="en-US" w:eastAsia="zh-CN"/>
        </w:rPr>
        <w:t>+</w:t>
      </w:r>
      <w:r>
        <w:rPr>
          <w:rFonts w:hint="eastAsia"/>
          <w:color w:val="auto"/>
          <w:lang w:eastAsia="zh-CN"/>
        </w:rPr>
        <w:t>配气价格。</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eastAsia="zh-CN"/>
        </w:rPr>
        <w:t>其中，配气价格</w:t>
      </w:r>
      <w:r>
        <w:rPr>
          <w:rFonts w:hint="eastAsia"/>
          <w:color w:val="auto"/>
          <w:lang w:val="en-US" w:eastAsia="zh-CN"/>
        </w:rPr>
        <w:t>是指城镇燃气企业通过配气管网向终端用户配送天然气的服务价格，由价格主管部门按规定另行制定。</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eastAsia="zh-CN"/>
        </w:rPr>
        <w:t>购气价格是指燃气经营企业采购天然气到中心城区的成本价（含运输费用）。辖区内多家燃气企业、多种形式气源供气时，购气价格按辖区内燃气企业采购的全部气源加权平均价格（含税）确定。当采购</w:t>
      </w:r>
      <w:r>
        <w:rPr>
          <w:rFonts w:hint="eastAsia"/>
          <w:color w:val="auto"/>
          <w:lang w:val="en-US" w:eastAsia="zh-CN"/>
        </w:rPr>
        <w:t>价格明显高于周边地区或中心城区主要气源平均价格时，可不予联动或降低联动标准。</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楷体_GB2312" w:hAnsi="楷体_GB2312" w:eastAsia="楷体_GB2312" w:cs="楷体_GB2312"/>
          <w:b/>
          <w:bCs/>
          <w:color w:val="auto"/>
          <w:lang w:eastAsia="zh-CN"/>
        </w:rPr>
      </w:pPr>
      <w:r>
        <w:rPr>
          <w:rFonts w:hint="eastAsia" w:ascii="楷体_GB2312" w:hAnsi="楷体_GB2312" w:eastAsia="楷体_GB2312" w:cs="楷体_GB2312"/>
          <w:b/>
          <w:bCs/>
          <w:color w:val="auto"/>
          <w:lang w:eastAsia="zh-CN"/>
        </w:rPr>
        <w:t>（二）终端销售价格与购气价格联动方式</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val="en-US" w:eastAsia="zh-CN"/>
        </w:rPr>
        <w:t>终端销售价格与购气价格实行联动。联动周期内购气价格变动时，终端销售价格按以下计价方式作相应同向调整。</w:t>
      </w:r>
    </w:p>
    <w:p>
      <w:pPr>
        <w:pStyle w:val="2"/>
        <w:keepNext w:val="0"/>
        <w:keepLines w:val="0"/>
        <w:pageBreakBefore w:val="0"/>
        <w:widowControl/>
        <w:tabs>
          <w:tab w:val="left" w:pos="1172"/>
        </w:tabs>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val="en-US" w:eastAsia="zh-CN"/>
        </w:rPr>
      </w:pPr>
      <w:r>
        <w:rPr>
          <w:rFonts w:hint="eastAsia"/>
          <w:color w:val="auto"/>
          <w:lang w:val="en-US" w:eastAsia="zh-CN"/>
        </w:rPr>
        <w:t>联动调整后的终端销售价格=现行价格+（计算期平均单位购气价格-基期平均单位购气价格）</w:t>
      </w:r>
    </w:p>
    <w:p>
      <w:pPr>
        <w:pStyle w:val="2"/>
        <w:keepNext w:val="0"/>
        <w:keepLines w:val="0"/>
        <w:pageBreakBefore w:val="0"/>
        <w:widowControl/>
        <w:tabs>
          <w:tab w:val="left" w:pos="1172"/>
        </w:tabs>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val="en-US" w:eastAsia="zh-CN"/>
        </w:rPr>
        <w:t>平均单位购气价格=（气源A价格</w:t>
      </w:r>
      <w:r>
        <w:rPr>
          <w:rFonts w:hint="default" w:ascii="Arial" w:hAnsi="Arial" w:cs="Arial"/>
          <w:color w:val="auto"/>
          <w:lang w:val="en-US" w:eastAsia="zh-CN"/>
        </w:rPr>
        <w:t>×</w:t>
      </w:r>
      <w:r>
        <w:rPr>
          <w:rFonts w:hint="eastAsia" w:ascii="Arial" w:hAnsi="Arial" w:cs="Arial"/>
          <w:color w:val="auto"/>
          <w:lang w:val="en-US" w:eastAsia="zh-CN"/>
        </w:rPr>
        <w:t>购气量+气源B价格</w:t>
      </w:r>
      <w:r>
        <w:rPr>
          <w:rFonts w:hint="default" w:ascii="Arial" w:hAnsi="Arial" w:cs="Arial"/>
          <w:color w:val="auto"/>
          <w:lang w:val="en-US" w:eastAsia="zh-CN"/>
        </w:rPr>
        <w:t>×</w:t>
      </w:r>
      <w:r>
        <w:rPr>
          <w:rFonts w:hint="eastAsia" w:ascii="Arial" w:hAnsi="Arial" w:cs="Arial"/>
          <w:color w:val="auto"/>
          <w:lang w:val="en-US" w:eastAsia="zh-CN"/>
        </w:rPr>
        <w:t>购气量……</w:t>
      </w:r>
      <w:r>
        <w:rPr>
          <w:rFonts w:hint="eastAsia"/>
          <w:color w:val="auto"/>
          <w:lang w:val="en-US" w:eastAsia="zh-CN"/>
        </w:rPr>
        <w:t>）</w:t>
      </w:r>
      <w:r>
        <w:rPr>
          <w:rFonts w:hint="default" w:ascii="Arial" w:hAnsi="Arial" w:cs="Arial"/>
          <w:color w:val="auto"/>
          <w:lang w:val="en-US" w:eastAsia="zh-CN"/>
        </w:rPr>
        <w:t>÷</w:t>
      </w:r>
      <w:r>
        <w:rPr>
          <w:rFonts w:hint="eastAsia"/>
          <w:color w:val="auto"/>
          <w:lang w:val="en-US" w:eastAsia="zh-CN"/>
        </w:rPr>
        <w:t>总</w:t>
      </w:r>
      <w:r>
        <w:rPr>
          <w:rFonts w:hint="eastAsia" w:ascii="Arial" w:hAnsi="Arial" w:cs="Arial"/>
          <w:color w:val="auto"/>
          <w:lang w:val="en-US" w:eastAsia="zh-CN"/>
        </w:rPr>
        <w:t>购</w:t>
      </w:r>
      <w:r>
        <w:rPr>
          <w:rFonts w:hint="eastAsia"/>
          <w:color w:val="auto"/>
          <w:lang w:val="en-US" w:eastAsia="zh-CN"/>
        </w:rPr>
        <w:t>气量</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b/>
          <w:bCs/>
          <w:color w:val="auto"/>
          <w:lang w:eastAsia="zh-CN"/>
        </w:rPr>
      </w:pPr>
      <w:r>
        <w:rPr>
          <w:rFonts w:hint="eastAsia" w:ascii="楷体_GB2312" w:hAnsi="楷体_GB2312" w:eastAsia="楷体_GB2312" w:cs="楷体_GB2312"/>
          <w:b/>
          <w:bCs/>
          <w:color w:val="auto"/>
          <w:lang w:eastAsia="zh-CN"/>
        </w:rPr>
        <w:t>（三）联动周期及启动条件</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64" w:firstLineChars="200"/>
        <w:jc w:val="both"/>
        <w:textAlignment w:val="baseline"/>
        <w:rPr>
          <w:rFonts w:hint="eastAsia"/>
          <w:color w:val="auto"/>
          <w:lang w:eastAsia="zh-CN"/>
        </w:rPr>
      </w:pPr>
      <w:r>
        <w:rPr>
          <w:rFonts w:hint="eastAsia" w:ascii="仿宋_GB2312"/>
          <w:color w:val="auto"/>
          <w:spacing w:val="-6"/>
          <w:sz w:val="32"/>
          <w:szCs w:val="32"/>
          <w:lang w:val="en-US" w:eastAsia="zh-CN"/>
        </w:rPr>
        <w:t>1.居民用气终端销售价格</w:t>
      </w:r>
      <w:r>
        <w:rPr>
          <w:rFonts w:hint="eastAsia"/>
          <w:color w:val="auto"/>
          <w:lang w:eastAsia="zh-CN"/>
        </w:rPr>
        <w:t>联动周期</w:t>
      </w:r>
      <w:r>
        <w:rPr>
          <w:rFonts w:hint="eastAsia" w:ascii="仿宋_GB2312"/>
          <w:color w:val="auto"/>
          <w:spacing w:val="-6"/>
          <w:sz w:val="32"/>
          <w:szCs w:val="32"/>
          <w:lang w:val="en-US" w:eastAsia="zh-CN"/>
        </w:rPr>
        <w:t>原则上</w:t>
      </w:r>
      <w:r>
        <w:rPr>
          <w:rFonts w:hint="eastAsia"/>
          <w:color w:val="auto"/>
          <w:lang w:eastAsia="zh-CN"/>
        </w:rPr>
        <w:t>为一年</w:t>
      </w:r>
      <w:r>
        <w:rPr>
          <w:rFonts w:hint="eastAsia"/>
          <w:color w:val="auto"/>
          <w:lang w:val="en-US" w:eastAsia="zh-CN"/>
        </w:rPr>
        <w:t>；</w:t>
      </w:r>
      <w:r>
        <w:rPr>
          <w:rFonts w:hint="eastAsia"/>
          <w:color w:val="auto"/>
          <w:lang w:eastAsia="zh-CN"/>
        </w:rPr>
        <w:t>非居民用气</w:t>
      </w:r>
      <w:r>
        <w:rPr>
          <w:rFonts w:hint="eastAsia" w:ascii="仿宋_GB2312"/>
          <w:color w:val="auto"/>
          <w:spacing w:val="-6"/>
          <w:sz w:val="32"/>
          <w:szCs w:val="32"/>
          <w:lang w:val="en-US" w:eastAsia="zh-CN"/>
        </w:rPr>
        <w:t>终端销售</w:t>
      </w:r>
      <w:r>
        <w:rPr>
          <w:rFonts w:hint="eastAsia"/>
          <w:color w:val="auto"/>
          <w:lang w:eastAsia="zh-CN"/>
        </w:rPr>
        <w:t>最高指导价联动周期原则上为三个月。</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default"/>
          <w:color w:val="auto"/>
          <w:lang w:val="en-US" w:eastAsia="zh-CN"/>
        </w:rPr>
      </w:pPr>
      <w:r>
        <w:rPr>
          <w:rFonts w:hint="eastAsia"/>
          <w:color w:val="auto"/>
          <w:lang w:val="en-US" w:eastAsia="zh-CN"/>
        </w:rPr>
        <w:t>2.联动周期（计算期）平均单位购气价格较上一周期（基期）平均单位购气价格</w:t>
      </w:r>
      <w:r>
        <w:rPr>
          <w:rFonts w:hint="eastAsia"/>
          <w:color w:val="auto"/>
          <w:lang w:eastAsia="zh-CN"/>
        </w:rPr>
        <w:t>变动幅度达到或超过</w:t>
      </w:r>
      <w:r>
        <w:rPr>
          <w:rFonts w:hint="eastAsia"/>
          <w:color w:val="auto"/>
          <w:lang w:val="en-US" w:eastAsia="zh-CN"/>
        </w:rPr>
        <w:t>5</w:t>
      </w:r>
      <w:r>
        <w:rPr>
          <w:rFonts w:hint="eastAsia"/>
          <w:color w:val="auto"/>
          <w:lang w:eastAsia="zh-CN"/>
        </w:rPr>
        <w:t>%时，启动联动调整程序。</w:t>
      </w:r>
      <w:r>
        <w:rPr>
          <w:rFonts w:hint="eastAsia"/>
          <w:color w:val="auto"/>
          <w:lang w:val="en-US" w:eastAsia="zh-CN"/>
        </w:rPr>
        <w:t>购气价格变动</w:t>
      </w:r>
      <w:r>
        <w:rPr>
          <w:rFonts w:hint="eastAsia"/>
          <w:color w:val="auto"/>
          <w:lang w:eastAsia="zh-CN"/>
        </w:rPr>
        <w:t>未达到联动调整启动条件时，终端销售价格不作调整，变动差额纳入下一调价周期累加或冲抵。</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楷体_GB2312" w:hAnsi="楷体_GB2312" w:eastAsia="楷体_GB2312" w:cs="楷体_GB2312"/>
          <w:b/>
          <w:bCs/>
          <w:color w:val="auto"/>
          <w:lang w:eastAsia="zh-CN"/>
        </w:rPr>
      </w:pPr>
      <w:r>
        <w:rPr>
          <w:rFonts w:hint="eastAsia" w:ascii="楷体_GB2312" w:hAnsi="楷体_GB2312" w:eastAsia="楷体_GB2312" w:cs="楷体_GB2312"/>
          <w:b/>
          <w:bCs/>
          <w:color w:val="auto"/>
          <w:lang w:eastAsia="zh-CN"/>
        </w:rPr>
        <w:t>（四）调整程序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0"/>
        <w:jc w:val="both"/>
        <w:textAlignment w:val="baseline"/>
        <w:rPr>
          <w:rFonts w:hint="eastAsia"/>
          <w:color w:val="auto"/>
          <w:lang w:eastAsia="zh-CN"/>
        </w:rPr>
      </w:pPr>
      <w:r>
        <w:rPr>
          <w:rFonts w:hint="eastAsia"/>
          <w:color w:val="auto"/>
          <w:lang w:val="en-US" w:eastAsia="zh-CN"/>
        </w:rPr>
        <w:t>1.触发联动</w:t>
      </w:r>
      <w:r>
        <w:rPr>
          <w:rFonts w:hint="eastAsia"/>
          <w:b w:val="0"/>
          <w:bCs w:val="0"/>
          <w:color w:val="auto"/>
          <w:lang w:eastAsia="zh-CN"/>
        </w:rPr>
        <w:t>上调</w:t>
      </w:r>
      <w:r>
        <w:rPr>
          <w:rFonts w:hint="eastAsia"/>
          <w:color w:val="auto"/>
          <w:lang w:eastAsia="zh-CN"/>
        </w:rPr>
        <w:t>启动条件时，由燃气企业提出调价建议，价格主管部门按照联动机制相关规定，结合经济发展需要、社会承受能力、燃气企业合法诚信经营收益等情况，拟定价格调整方案。居民</w:t>
      </w:r>
      <w:r>
        <w:rPr>
          <w:rFonts w:hint="eastAsia" w:ascii="仿宋_GB2312"/>
          <w:color w:val="auto"/>
          <w:spacing w:val="-6"/>
          <w:sz w:val="32"/>
          <w:szCs w:val="32"/>
          <w:lang w:val="en-US" w:eastAsia="zh-CN"/>
        </w:rPr>
        <w:t>用气终端销售</w:t>
      </w:r>
      <w:r>
        <w:rPr>
          <w:rFonts w:hint="eastAsia"/>
          <w:color w:val="auto"/>
          <w:lang w:eastAsia="zh-CN"/>
        </w:rPr>
        <w:t>价格调整方案向社会公开征求意见（时间不少于</w:t>
      </w:r>
      <w:r>
        <w:rPr>
          <w:rFonts w:hint="eastAsia"/>
          <w:color w:val="auto"/>
          <w:lang w:val="en-US" w:eastAsia="zh-CN"/>
        </w:rPr>
        <w:t>15日</w:t>
      </w:r>
      <w:r>
        <w:rPr>
          <w:rFonts w:hint="eastAsia"/>
          <w:color w:val="auto"/>
          <w:lang w:eastAsia="zh-CN"/>
        </w:rPr>
        <w:t>）</w:t>
      </w:r>
      <w:r>
        <w:rPr>
          <w:rFonts w:hint="eastAsia"/>
          <w:color w:val="auto"/>
          <w:lang w:val="en-US" w:eastAsia="zh-CN"/>
        </w:rPr>
        <w:t>，</w:t>
      </w:r>
      <w:r>
        <w:rPr>
          <w:rFonts w:hint="eastAsia"/>
          <w:color w:val="auto"/>
          <w:lang w:eastAsia="zh-CN"/>
        </w:rPr>
        <w:t>经市政府同意后由价格主管部门公布具体价格。非居民</w:t>
      </w:r>
      <w:r>
        <w:rPr>
          <w:rFonts w:hint="eastAsia"/>
          <w:color w:val="auto"/>
          <w:lang w:val="en-US" w:eastAsia="zh-CN"/>
        </w:rPr>
        <w:t>终端销售最高指导价由价格主管部门</w:t>
      </w:r>
      <w:r>
        <w:rPr>
          <w:rFonts w:hint="eastAsia"/>
          <w:color w:val="auto"/>
          <w:lang w:eastAsia="zh-CN"/>
        </w:rPr>
        <w:t>确定公布具体价格。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0"/>
        <w:jc w:val="both"/>
        <w:textAlignment w:val="baseline"/>
        <w:rPr>
          <w:rFonts w:hint="eastAsia"/>
          <w:color w:val="auto"/>
          <w:lang w:eastAsia="zh-CN"/>
        </w:rPr>
      </w:pPr>
      <w:r>
        <w:rPr>
          <w:rFonts w:hint="eastAsia"/>
          <w:color w:val="auto"/>
          <w:lang w:val="en-US" w:eastAsia="zh-CN"/>
        </w:rPr>
        <w:t>2.</w:t>
      </w:r>
      <w:r>
        <w:rPr>
          <w:rFonts w:hint="eastAsia"/>
          <w:color w:val="auto"/>
          <w:lang w:eastAsia="zh-CN"/>
        </w:rPr>
        <w:t>触发联动</w:t>
      </w:r>
      <w:r>
        <w:rPr>
          <w:rFonts w:hint="eastAsia"/>
          <w:b w:val="0"/>
          <w:bCs w:val="0"/>
          <w:color w:val="auto"/>
          <w:lang w:eastAsia="zh-CN"/>
        </w:rPr>
        <w:t>下调</w:t>
      </w:r>
      <w:r>
        <w:rPr>
          <w:rFonts w:hint="eastAsia"/>
          <w:color w:val="auto"/>
          <w:lang w:eastAsia="zh-CN"/>
        </w:rPr>
        <w:t>启动条件时，由价格主管部门按照联动机制相关规定，确定公布具体价格。</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textAlignment w:val="baseline"/>
        <w:rPr>
          <w:rFonts w:hint="eastAsia"/>
          <w:color w:val="auto"/>
          <w:lang w:val="en-US" w:eastAsia="zh-CN"/>
        </w:rPr>
      </w:pPr>
      <w:r>
        <w:rPr>
          <w:rFonts w:hint="eastAsia" w:cs="Times New Roman"/>
          <w:snapToGrid w:val="0"/>
          <w:color w:val="auto"/>
          <w:kern w:val="0"/>
          <w:sz w:val="32"/>
          <w:szCs w:val="32"/>
          <w:lang w:val="en-US" w:eastAsia="zh-CN"/>
        </w:rPr>
        <w:t>3.</w:t>
      </w:r>
      <w:r>
        <w:rPr>
          <w:rFonts w:hint="eastAsia" w:ascii="仿宋_GB2312" w:hAnsi="仿宋_GB2312" w:cs="仿宋_GB2312"/>
          <w:color w:val="auto"/>
          <w:sz w:val="32"/>
          <w:szCs w:val="32"/>
          <w:lang w:val="en-US" w:eastAsia="zh-CN"/>
        </w:rPr>
        <w:t>调价文件发布时间与执行时间的间隔不低于10天；</w:t>
      </w:r>
      <w:r>
        <w:rPr>
          <w:rFonts w:hint="eastAsia"/>
          <w:color w:val="auto"/>
          <w:lang w:val="en-US" w:eastAsia="zh-CN"/>
        </w:rPr>
        <w:t>配气价格调整时，终端销售价格同步同额同向调整，不在联动机制管理范围；根据《政府制定价格听证办法》“依据已经生效实施的定价机制制定具体价格水平时，可以不再开展定价听证”的精神，本机制生效后，按机制调整终端销售价格可以不再开展定价听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0"/>
        <w:jc w:val="both"/>
        <w:textAlignment w:val="baseline"/>
        <w:rPr>
          <w:rFonts w:hint="eastAsia" w:ascii="Times New Roman" w:hAnsi="Times New Roman" w:eastAsia="仿宋_GB2312" w:cs="Times New Roman"/>
          <w:snapToGrid w:val="0"/>
          <w:color w:val="auto"/>
          <w:kern w:val="0"/>
          <w:sz w:val="32"/>
          <w:szCs w:val="32"/>
          <w:lang w:val="en-US" w:eastAsia="zh-CN"/>
        </w:rPr>
      </w:pPr>
      <w:r>
        <w:rPr>
          <w:rFonts w:hint="eastAsia" w:ascii="楷体_GB2312" w:hAnsi="楷体_GB2312" w:eastAsia="楷体_GB2312" w:cs="楷体_GB2312"/>
          <w:b/>
          <w:bCs/>
          <w:snapToGrid w:val="0"/>
          <w:color w:val="auto"/>
          <w:kern w:val="0"/>
          <w:sz w:val="32"/>
          <w:szCs w:val="32"/>
          <w:lang w:val="en-US" w:eastAsia="zh-CN"/>
        </w:rPr>
        <w:t>（五）设置标杆采购价。</w:t>
      </w:r>
      <w:r>
        <w:rPr>
          <w:rFonts w:hint="eastAsia" w:ascii="Times New Roman" w:hAnsi="Times New Roman" w:eastAsia="仿宋_GB2312" w:cs="Times New Roman"/>
          <w:snapToGrid w:val="0"/>
          <w:color w:val="auto"/>
          <w:kern w:val="0"/>
          <w:sz w:val="32"/>
          <w:szCs w:val="32"/>
          <w:lang w:val="en-US" w:eastAsia="zh-CN"/>
        </w:rPr>
        <w:t>为鼓励燃气企业优化采购渠道，降低采购价格</w:t>
      </w:r>
      <w:r>
        <w:rPr>
          <w:rFonts w:hint="eastAsia"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lang w:val="en-US" w:eastAsia="zh-CN"/>
        </w:rPr>
        <w:t>设置标杆采购价，一年一公布。计算期</w:t>
      </w:r>
      <w:r>
        <w:rPr>
          <w:rFonts w:hint="eastAsia" w:cs="Times New Roman"/>
          <w:snapToGrid w:val="0"/>
          <w:color w:val="auto"/>
          <w:kern w:val="0"/>
          <w:sz w:val="32"/>
          <w:szCs w:val="32"/>
          <w:lang w:val="en-US" w:eastAsia="zh-CN"/>
        </w:rPr>
        <w:t>平均单位购气价格高于</w:t>
      </w:r>
      <w:r>
        <w:rPr>
          <w:rFonts w:hint="eastAsia" w:ascii="Times New Roman" w:hAnsi="Times New Roman" w:eastAsia="仿宋_GB2312" w:cs="Times New Roman"/>
          <w:snapToGrid w:val="0"/>
          <w:color w:val="auto"/>
          <w:kern w:val="0"/>
          <w:sz w:val="32"/>
          <w:szCs w:val="32"/>
          <w:lang w:val="en-US" w:eastAsia="zh-CN"/>
        </w:rPr>
        <w:t>标杆采购价部分不予疏导，低于标杆采购价部分由城燃企业与用户按2:8</w:t>
      </w:r>
      <w:r>
        <w:rPr>
          <w:rFonts w:hint="eastAsia" w:cs="Times New Roman"/>
          <w:snapToGrid w:val="0"/>
          <w:color w:val="auto"/>
          <w:kern w:val="0"/>
          <w:sz w:val="32"/>
          <w:szCs w:val="32"/>
          <w:lang w:val="en-US" w:eastAsia="zh-CN"/>
        </w:rPr>
        <w:t>比例</w:t>
      </w:r>
      <w:r>
        <w:rPr>
          <w:rFonts w:hint="eastAsia" w:ascii="Times New Roman" w:hAnsi="Times New Roman" w:eastAsia="仿宋_GB2312" w:cs="Times New Roman"/>
          <w:snapToGrid w:val="0"/>
          <w:color w:val="auto"/>
          <w:kern w:val="0"/>
          <w:sz w:val="32"/>
          <w:szCs w:val="32"/>
          <w:lang w:val="en-US" w:eastAsia="zh-CN"/>
        </w:rPr>
        <w:t>分享。</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val="en-US" w:eastAsia="zh-CN"/>
        </w:rPr>
      </w:pPr>
      <w:r>
        <w:rPr>
          <w:rFonts w:hint="eastAsia" w:ascii="楷体_GB2312" w:hAnsi="楷体_GB2312" w:eastAsia="楷体_GB2312" w:cs="楷体_GB2312"/>
          <w:b/>
          <w:bCs/>
          <w:snapToGrid w:val="0"/>
          <w:color w:val="auto"/>
          <w:kern w:val="0"/>
          <w:sz w:val="32"/>
          <w:szCs w:val="32"/>
          <w:lang w:val="en-US" w:eastAsia="zh-CN"/>
        </w:rPr>
        <w:t>（六）联动幅度限制。</w:t>
      </w:r>
      <w:r>
        <w:rPr>
          <w:rFonts w:hint="eastAsia"/>
          <w:color w:val="auto"/>
          <w:lang w:eastAsia="zh-CN"/>
        </w:rPr>
        <w:t>为保持居民用气终端销售价格相对稳定，避免过度增加居民用户负担，原则上第一阶梯价格单次上调不超过</w:t>
      </w:r>
      <w:r>
        <w:rPr>
          <w:rFonts w:hint="eastAsia"/>
          <w:color w:val="auto"/>
          <w:lang w:val="en-US" w:eastAsia="zh-CN"/>
        </w:rPr>
        <w:t>0.5元/立方米，未调金额</w:t>
      </w:r>
      <w:r>
        <w:rPr>
          <w:rFonts w:hint="eastAsia"/>
          <w:color w:val="auto"/>
          <w:lang w:eastAsia="zh-CN"/>
        </w:rPr>
        <w:t>纳入下一联动周期累加或冲抵。当天然气上游价格持续大幅上涨，可能对居民生活和经济平稳运行产生严重不利影响时，可暂时中止联动。居民用气价格下调调整幅度不限。</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黑体" w:hAnsi="黑体" w:eastAsia="黑体" w:cs="黑体"/>
          <w:color w:val="auto"/>
          <w:lang w:eastAsia="zh-CN"/>
        </w:rPr>
      </w:pPr>
      <w:r>
        <w:rPr>
          <w:rFonts w:hint="eastAsia" w:ascii="黑体" w:hAnsi="黑体" w:eastAsia="黑体" w:cs="黑体"/>
          <w:color w:val="auto"/>
          <w:lang w:eastAsia="zh-CN"/>
        </w:rPr>
        <w:t>三、保障措施</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eastAsia="zh-CN"/>
        </w:rPr>
        <w:t>（一）燃气经营企业应在每月</w:t>
      </w:r>
      <w:r>
        <w:rPr>
          <w:rFonts w:hint="eastAsia"/>
          <w:color w:val="auto"/>
          <w:lang w:val="en-US" w:eastAsia="zh-CN"/>
        </w:rPr>
        <w:t>10日前</w:t>
      </w:r>
      <w:r>
        <w:rPr>
          <w:rFonts w:hint="eastAsia"/>
          <w:color w:val="auto"/>
          <w:lang w:eastAsia="zh-CN"/>
        </w:rPr>
        <w:t>报送购气价格数据及审核材料，包括但不限于购气合同、交易对账单、报价函、税务发票等，并对报送材料的真实性、完整性负责。对故意瞒报、虚报信息的行为，价格主管部门要依法查处并公开曝光，纳入企业不良信用记录，并可视情采取降低准许收益率等措施。</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eastAsia="zh-CN"/>
        </w:rPr>
        <w:t>（二）燃气企业应制定工作应急预案，及时回应用户关切，保障价格调整平稳实施；应在门户网站或经营场所定期公开采购价格、批次数量等信息，接受用户查询，做好行业信息公开宣传工作。价格主管部门定期对燃气企业公开的价格信息进行抽查核实。</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ascii="黑体" w:hAnsi="黑体" w:eastAsia="黑体" w:cs="黑体"/>
          <w:color w:val="auto"/>
          <w:lang w:eastAsia="zh-CN"/>
        </w:rPr>
      </w:pPr>
      <w:r>
        <w:rPr>
          <w:rFonts w:hint="eastAsia" w:ascii="黑体" w:hAnsi="黑体" w:eastAsia="黑体" w:cs="黑体"/>
          <w:color w:val="auto"/>
          <w:lang w:eastAsia="zh-CN"/>
        </w:rPr>
        <w:t>四、执行时间</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right="0" w:firstLine="588" w:firstLineChars="200"/>
        <w:jc w:val="both"/>
        <w:textAlignment w:val="baseline"/>
        <w:rPr>
          <w:rFonts w:hint="eastAsia"/>
          <w:color w:val="auto"/>
          <w:lang w:eastAsia="zh-CN"/>
        </w:rPr>
      </w:pPr>
      <w:r>
        <w:rPr>
          <w:rFonts w:hint="eastAsia"/>
          <w:color w:val="auto"/>
          <w:lang w:eastAsia="zh-CN"/>
        </w:rPr>
        <w:t>本机制自印发之日起执行，有效期五年。原《中心城区</w:t>
      </w:r>
      <w:r>
        <w:rPr>
          <w:rFonts w:hint="eastAsia"/>
          <w:color w:val="auto"/>
          <w:lang w:val="en-US" w:eastAsia="zh-CN"/>
        </w:rPr>
        <w:t>管道天然气终端用户销售价格联动机制</w:t>
      </w:r>
      <w:r>
        <w:rPr>
          <w:rFonts w:hint="eastAsia"/>
          <w:color w:val="auto"/>
          <w:lang w:eastAsia="zh-CN"/>
        </w:rPr>
        <w:t>》同时废止，国家和省对天然气价格调整另有政策规定的，从其规定。</w:t>
      </w:r>
    </w:p>
    <w:p>
      <w:bookmarkStart w:id="0" w:name="_GoBack"/>
      <w:bookmarkEnd w:id="0"/>
    </w:p>
    <w:sectPr>
      <w:pgSz w:w="11905" w:h="16838"/>
      <w:pgMar w:top="2098" w:right="1474" w:bottom="1984" w:left="1587" w:header="0" w:footer="1701" w:gutter="283"/>
      <w:pgBorders>
        <w:top w:val="none" w:sz="0" w:space="0"/>
        <w:left w:val="none" w:sz="0" w:space="0"/>
        <w:bottom w:val="none" w:sz="0" w:space="0"/>
        <w:right w:val="none" w:sz="0" w:space="0"/>
      </w:pgBorders>
      <w:pgNumType w:fmt="numberInDash" w:start="1"/>
      <w:cols w:space="0" w:num="1"/>
      <w:rtlGutter w:val="0"/>
      <w:docGrid w:type="linesAndChars" w:linePitch="562" w:charSpace="-5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DdkYzlkOWI3Mjc4ZWQzYWQ2YjUxZjU4YzBlNzMifQ=="/>
  </w:docVars>
  <w:rsids>
    <w:rsidRoot w:val="225C2B02"/>
    <w:rsid w:val="005D2166"/>
    <w:rsid w:val="0438160E"/>
    <w:rsid w:val="0556452D"/>
    <w:rsid w:val="07827132"/>
    <w:rsid w:val="07FB4E2D"/>
    <w:rsid w:val="09D65B51"/>
    <w:rsid w:val="0B9C6DE6"/>
    <w:rsid w:val="12883B22"/>
    <w:rsid w:val="153477B4"/>
    <w:rsid w:val="16F306EA"/>
    <w:rsid w:val="19357C9E"/>
    <w:rsid w:val="19A82E4F"/>
    <w:rsid w:val="1D7A483C"/>
    <w:rsid w:val="1F822A4E"/>
    <w:rsid w:val="225C2B02"/>
    <w:rsid w:val="22DB1A80"/>
    <w:rsid w:val="26A515B7"/>
    <w:rsid w:val="28323E81"/>
    <w:rsid w:val="29F32E8B"/>
    <w:rsid w:val="2A586C05"/>
    <w:rsid w:val="32CC2D9E"/>
    <w:rsid w:val="3D8C5F4C"/>
    <w:rsid w:val="44372B41"/>
    <w:rsid w:val="4502333E"/>
    <w:rsid w:val="4C765DFD"/>
    <w:rsid w:val="4FE63259"/>
    <w:rsid w:val="51AB081D"/>
    <w:rsid w:val="538B1E1B"/>
    <w:rsid w:val="577B20F7"/>
    <w:rsid w:val="59A35E29"/>
    <w:rsid w:val="5D5C0BC7"/>
    <w:rsid w:val="62D33098"/>
    <w:rsid w:val="67281F92"/>
    <w:rsid w:val="68E048D2"/>
    <w:rsid w:val="693C3AD3"/>
    <w:rsid w:val="6D9545A0"/>
    <w:rsid w:val="6F4B10BE"/>
    <w:rsid w:val="73F1074E"/>
    <w:rsid w:val="75D31E74"/>
    <w:rsid w:val="76650B0D"/>
    <w:rsid w:val="769A2ADA"/>
    <w:rsid w:val="77B904C0"/>
    <w:rsid w:val="78846E30"/>
    <w:rsid w:val="78FF1759"/>
    <w:rsid w:val="796230E1"/>
    <w:rsid w:val="7A8F43AA"/>
    <w:rsid w:val="7A966D33"/>
    <w:rsid w:val="7AC202DC"/>
    <w:rsid w:val="7B3C6832"/>
    <w:rsid w:val="7E08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Times New Roman" w:hAnsi="Times New Roman" w:eastAsia="仿宋_GB2312" w:cs="Times New Roman"/>
      <w:snapToGrid w:val="0"/>
      <w:color w:val="000000"/>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1823</Words>
  <Characters>1838</Characters>
  <Lines>0</Lines>
  <Paragraphs>0</Paragraphs>
  <TotalTime>2</TotalTime>
  <ScaleCrop>false</ScaleCrop>
  <LinksUpToDate>false</LinksUpToDate>
  <CharactersWithSpaces>1838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2024-06-27T08:40:00Z</dcterms:created>
  <dc:creator>耿新</dc:creator>
  <cp:lastModifiedBy>耿新</cp:lastModifiedBy>
  <cp:lastPrinted>2024-07-12T01:56:08Z</cp:lastPrinted>
  <dcterms:modified xsi:type="dcterms:W3CDTF">2024-07-12T01:56:37Z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38ABF1915D4640F7A302EBC2D55C2324_11</vt:lpwstr>
  </property>
</Properties>
</file>